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545F" w:rsidRDefault="000B483A">
      <w:pPr>
        <w:rPr>
          <w:sz w:val="32"/>
          <w:szCs w:val="32"/>
        </w:rPr>
      </w:pPr>
    </w:p>
    <w:p w:rsidR="00060154" w:rsidRDefault="00060154" w:rsidP="00060154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 chi spetta deliberare gli interventi di tinteggiatura agevolati con il bonus facciate? </w:t>
      </w:r>
    </w:p>
    <w:p w:rsidR="00060154" w:rsidRPr="000B483A" w:rsidRDefault="00060154">
      <w:pPr>
        <w:rPr>
          <w:b/>
          <w:sz w:val="28"/>
          <w:szCs w:val="28"/>
        </w:rPr>
      </w:pPr>
      <w:bookmarkStart w:id="0" w:name="_GoBack"/>
      <w:bookmarkEnd w:id="0"/>
    </w:p>
    <w:p w:rsidR="00A62EA3" w:rsidRPr="000B483A" w:rsidRDefault="00A62EA3">
      <w:pPr>
        <w:rPr>
          <w:b/>
          <w:sz w:val="28"/>
          <w:szCs w:val="28"/>
          <w:u w:val="single"/>
        </w:rPr>
      </w:pPr>
      <w:r w:rsidRPr="000B483A">
        <w:rPr>
          <w:b/>
          <w:sz w:val="28"/>
          <w:szCs w:val="28"/>
          <w:u w:val="single"/>
        </w:rPr>
        <w:t xml:space="preserve">A cura di ANDREA TOLOMELLI – Presidente ABICONF </w:t>
      </w:r>
    </w:p>
    <w:p w:rsidR="00A62EA3" w:rsidRPr="000B483A" w:rsidRDefault="00A62EA3"/>
    <w:p w:rsidR="001F3D52" w:rsidRPr="000B483A" w:rsidRDefault="00B70AB5" w:rsidP="00B13B74">
      <w:pPr>
        <w:jc w:val="both"/>
      </w:pPr>
      <w:r w:rsidRPr="000B483A">
        <w:t xml:space="preserve">In relazione ai lavori di tinteggiatura delle facciate condominiali – come noto fino al 31 dicembre p.v. agevolate </w:t>
      </w:r>
      <w:r w:rsidR="00B13B74" w:rsidRPr="000B483A">
        <w:t xml:space="preserve">fiscalmente </w:t>
      </w:r>
      <w:r w:rsidRPr="000B483A">
        <w:t xml:space="preserve">con il c.d. </w:t>
      </w:r>
      <w:r w:rsidRPr="000B483A">
        <w:rPr>
          <w:i/>
        </w:rPr>
        <w:t>“Bonus facciate”</w:t>
      </w:r>
      <w:r w:rsidRPr="000B483A">
        <w:t xml:space="preserve"> – nel caso di unità immobiliari con la presenza di usufruttuari, può porsi la problematica </w:t>
      </w:r>
      <w:r w:rsidR="00F25C60" w:rsidRPr="000B483A">
        <w:t>di</w:t>
      </w:r>
      <w:r w:rsidR="001F3D52" w:rsidRPr="000B483A">
        <w:t xml:space="preserve"> chi è tenuto – tra usufruttuario e nudo proprietario - a deliberare ed a sostenere le spese conseguenti.</w:t>
      </w:r>
    </w:p>
    <w:p w:rsidR="00A62EA3" w:rsidRPr="000B483A" w:rsidRDefault="00A62EA3" w:rsidP="00B13B74">
      <w:pPr>
        <w:jc w:val="both"/>
      </w:pPr>
    </w:p>
    <w:p w:rsidR="008D051C" w:rsidRPr="000B483A" w:rsidRDefault="00A62EA3" w:rsidP="00B13B74">
      <w:pPr>
        <w:jc w:val="both"/>
        <w:rPr>
          <w:u w:val="single"/>
        </w:rPr>
      </w:pPr>
      <w:r w:rsidRPr="000B483A">
        <w:rPr>
          <w:b/>
          <w:u w:val="single"/>
        </w:rPr>
        <w:t>Non è un problema di natura fiscale,</w:t>
      </w:r>
    </w:p>
    <w:p w:rsidR="008D051C" w:rsidRPr="000B483A" w:rsidRDefault="004849BC" w:rsidP="008D051C">
      <w:pPr>
        <w:jc w:val="both"/>
      </w:pPr>
      <w:r w:rsidRPr="000B483A">
        <w:t>T</w:t>
      </w:r>
      <w:r w:rsidR="008D051C" w:rsidRPr="000B483A">
        <w:t xml:space="preserve">anto il nudo proprietario quanto l’usufruttuario </w:t>
      </w:r>
      <w:r w:rsidR="00A62EA3" w:rsidRPr="000B483A">
        <w:t>hanno diritto alla detrazione delle spese</w:t>
      </w:r>
      <w:r w:rsidR="008D051C" w:rsidRPr="000B483A">
        <w:t xml:space="preserve">. </w:t>
      </w:r>
      <w:r w:rsidRPr="000B483A">
        <w:t>L</w:t>
      </w:r>
      <w:r w:rsidR="00A62EA3" w:rsidRPr="000B483A">
        <w:t xml:space="preserve">a circolare </w:t>
      </w:r>
      <w:r w:rsidR="00D90F44" w:rsidRPr="000B483A">
        <w:t xml:space="preserve">2/E </w:t>
      </w:r>
      <w:r w:rsidR="008D051C" w:rsidRPr="000B483A">
        <w:t xml:space="preserve">del 14 febbraio 2020 </w:t>
      </w:r>
      <w:r w:rsidR="00D90F44" w:rsidRPr="000B483A">
        <w:t>dell’Agenzia delle Entrate</w:t>
      </w:r>
      <w:r w:rsidR="008D051C" w:rsidRPr="000B483A">
        <w:t xml:space="preserve"> nel</w:t>
      </w:r>
      <w:r w:rsidR="00C976FB" w:rsidRPr="000B483A">
        <w:t xml:space="preserve"> chiarire l’</w:t>
      </w:r>
      <w:r w:rsidR="008D051C" w:rsidRPr="000B483A">
        <w:t>ambito soggettivo di coloro che sono ammessi alla detrazione specifica che</w:t>
      </w:r>
      <w:r w:rsidRPr="000B483A">
        <w:t>,</w:t>
      </w:r>
      <w:r w:rsidR="008D051C" w:rsidRPr="000B483A">
        <w:t xml:space="preserve"> i soggetti beneficiari devono </w:t>
      </w:r>
      <w:r w:rsidR="008D051C" w:rsidRPr="000B483A">
        <w:rPr>
          <w:rFonts w:cstheme="minorHAnsi"/>
        </w:rPr>
        <w:t>possedere l’immobile in q</w:t>
      </w:r>
      <w:r w:rsidR="00C976FB" w:rsidRPr="000B483A">
        <w:rPr>
          <w:rFonts w:cstheme="minorHAnsi"/>
        </w:rPr>
        <w:t>ualità</w:t>
      </w:r>
      <w:r w:rsidR="008D051C" w:rsidRPr="000B483A">
        <w:rPr>
          <w:rFonts w:cstheme="minorHAnsi"/>
        </w:rPr>
        <w:t xml:space="preserve"> di proprietario, nudo proprietario o di titolare di altro diritto reale di godimento (usufrutto, uso, abitazione o superficie). </w:t>
      </w:r>
    </w:p>
    <w:p w:rsidR="008D051C" w:rsidRPr="000B483A" w:rsidRDefault="008D051C" w:rsidP="00B13B74">
      <w:pPr>
        <w:jc w:val="both"/>
        <w:rPr>
          <w:rFonts w:cstheme="minorHAnsi"/>
        </w:rPr>
      </w:pPr>
    </w:p>
    <w:p w:rsidR="00C976FB" w:rsidRPr="000B483A" w:rsidRDefault="00C976FB" w:rsidP="00B13B74">
      <w:pPr>
        <w:jc w:val="both"/>
      </w:pPr>
      <w:r w:rsidRPr="000B483A">
        <w:rPr>
          <w:b/>
          <w:u w:val="single"/>
        </w:rPr>
        <w:t xml:space="preserve">È piuttosto un problema di </w:t>
      </w:r>
      <w:r w:rsidR="00D90F44" w:rsidRPr="000B483A">
        <w:rPr>
          <w:b/>
          <w:u w:val="single"/>
        </w:rPr>
        <w:t>natura civilistica</w:t>
      </w:r>
    </w:p>
    <w:p w:rsidR="00A62EA3" w:rsidRPr="000B483A" w:rsidRDefault="00D90F44" w:rsidP="00B13B74">
      <w:pPr>
        <w:jc w:val="both"/>
      </w:pPr>
      <w:r w:rsidRPr="000B483A">
        <w:t>in ordine a</w:t>
      </w:r>
      <w:r w:rsidR="00F357FF" w:rsidRPr="000B483A">
        <w:t xml:space="preserve"> chi deve essere convocato, chi potrà esprimere il proprio voto e chi dovrà sostenere le spese. </w:t>
      </w:r>
    </w:p>
    <w:p w:rsidR="001F3D52" w:rsidRPr="000B483A" w:rsidRDefault="001F3D52" w:rsidP="00B13B74">
      <w:pPr>
        <w:jc w:val="both"/>
      </w:pPr>
    </w:p>
    <w:p w:rsidR="00C976FB" w:rsidRPr="000B483A" w:rsidRDefault="00F357FF" w:rsidP="00B13B74">
      <w:pPr>
        <w:jc w:val="both"/>
      </w:pPr>
      <w:r w:rsidRPr="000B483A">
        <w:rPr>
          <w:b/>
          <w:u w:val="single"/>
        </w:rPr>
        <w:t>L</w:t>
      </w:r>
      <w:r w:rsidR="001F3D52" w:rsidRPr="000B483A">
        <w:rPr>
          <w:b/>
          <w:u w:val="single"/>
        </w:rPr>
        <w:t xml:space="preserve">a </w:t>
      </w:r>
      <w:r w:rsidRPr="000B483A">
        <w:rPr>
          <w:b/>
          <w:u w:val="single"/>
        </w:rPr>
        <w:t xml:space="preserve">legge </w:t>
      </w:r>
      <w:r w:rsidR="001F3D52" w:rsidRPr="000B483A">
        <w:rPr>
          <w:b/>
          <w:u w:val="single"/>
        </w:rPr>
        <w:t xml:space="preserve">di riforma </w:t>
      </w:r>
      <w:r w:rsidR="00A54602" w:rsidRPr="000B483A">
        <w:rPr>
          <w:b/>
          <w:u w:val="single"/>
        </w:rPr>
        <w:t>d</w:t>
      </w:r>
      <w:r w:rsidR="001F3D52" w:rsidRPr="000B483A">
        <w:rPr>
          <w:b/>
          <w:u w:val="single"/>
        </w:rPr>
        <w:t>ell’istituto del Condominio</w:t>
      </w:r>
      <w:r w:rsidR="001F3D52" w:rsidRPr="000B483A">
        <w:t xml:space="preserve"> </w:t>
      </w:r>
      <w:r w:rsidRPr="000B483A">
        <w:t>–</w:t>
      </w:r>
      <w:r w:rsidR="00C976FB" w:rsidRPr="000B483A">
        <w:t xml:space="preserve"> L</w:t>
      </w:r>
      <w:r w:rsidRPr="000B483A">
        <w:t>egge 220 / 2012</w:t>
      </w:r>
      <w:r w:rsidR="00C976FB" w:rsidRPr="000B483A">
        <w:t xml:space="preserve"> </w:t>
      </w:r>
      <w:r w:rsidRPr="000B483A">
        <w:t>-</w:t>
      </w:r>
    </w:p>
    <w:p w:rsidR="00A54602" w:rsidRPr="000B483A" w:rsidRDefault="001F3D52" w:rsidP="00B13B74">
      <w:pPr>
        <w:jc w:val="both"/>
      </w:pPr>
      <w:r w:rsidRPr="000B483A">
        <w:t xml:space="preserve">è intervenuta </w:t>
      </w:r>
      <w:r w:rsidR="00A54602" w:rsidRPr="000B483A">
        <w:t>significativamente</w:t>
      </w:r>
      <w:r w:rsidR="00C976FB" w:rsidRPr="000B483A">
        <w:t xml:space="preserve"> sulla posizione dell’usufruttuario in Condominio, riformando</w:t>
      </w:r>
      <w:r w:rsidR="00A54602" w:rsidRPr="000B483A">
        <w:t xml:space="preserve"> </w:t>
      </w:r>
      <w:r w:rsidRPr="000B483A">
        <w:t>l’articolo 67 delle disposizioni di attuazione al codice civile</w:t>
      </w:r>
      <w:r w:rsidR="00C976FB" w:rsidRPr="000B483A">
        <w:t xml:space="preserve"> e </w:t>
      </w:r>
      <w:r w:rsidR="00A54602" w:rsidRPr="000B483A">
        <w:t xml:space="preserve">prevedendo espressamente, all’ultimo comma del citato articolo, </w:t>
      </w:r>
      <w:r w:rsidR="00A54602" w:rsidRPr="000B483A">
        <w:rPr>
          <w:b/>
        </w:rPr>
        <w:t>la solidarietà tra nudo proprietario ed usufruttuario</w:t>
      </w:r>
      <w:r w:rsidR="00A54602" w:rsidRPr="000B483A">
        <w:t xml:space="preserve"> rispetto al pagamento delle spese condominiali.  </w:t>
      </w:r>
    </w:p>
    <w:p w:rsidR="00A54602" w:rsidRPr="000B483A" w:rsidRDefault="00A54602" w:rsidP="00B13B74">
      <w:pPr>
        <w:jc w:val="both"/>
      </w:pPr>
    </w:p>
    <w:p w:rsidR="00C057A7" w:rsidRPr="000B483A" w:rsidRDefault="00A063FC" w:rsidP="00B13B74">
      <w:pPr>
        <w:jc w:val="both"/>
      </w:pPr>
      <w:r w:rsidRPr="000B483A">
        <w:t>I</w:t>
      </w:r>
      <w:r w:rsidR="00A54602" w:rsidRPr="000B483A">
        <w:t xml:space="preserve"> commi 7° ed 8° l’articolo 67 delle disposizioni di attuazione al codice civile </w:t>
      </w:r>
      <w:r w:rsidRPr="000B483A">
        <w:t xml:space="preserve">disciplinano la partecipazione all’assemblea di Condominio </w:t>
      </w:r>
      <w:r w:rsidR="00A54602" w:rsidRPr="000B483A">
        <w:t>specifica</w:t>
      </w:r>
      <w:r w:rsidRPr="000B483A">
        <w:t>ndo</w:t>
      </w:r>
      <w:r w:rsidR="00A54602" w:rsidRPr="000B483A">
        <w:t xml:space="preserve"> che:</w:t>
      </w:r>
    </w:p>
    <w:p w:rsidR="00C057A7" w:rsidRPr="000B483A" w:rsidRDefault="00A54602" w:rsidP="00C057A7">
      <w:pPr>
        <w:pStyle w:val="Paragrafoelenco"/>
        <w:numPr>
          <w:ilvl w:val="0"/>
          <w:numId w:val="1"/>
        </w:numPr>
        <w:jc w:val="both"/>
      </w:pPr>
      <w:r w:rsidRPr="000B483A">
        <w:t>l’usufruttuario esercita il diritto di voto negli affari che attengono al semplice godimento delle cose e dei servizi comuni</w:t>
      </w:r>
      <w:r w:rsidR="00C057A7" w:rsidRPr="000B483A">
        <w:t>;</w:t>
      </w:r>
    </w:p>
    <w:p w:rsidR="001E03CE" w:rsidRPr="000B483A" w:rsidRDefault="00423D12" w:rsidP="00C057A7">
      <w:pPr>
        <w:pStyle w:val="Paragrafoelenco"/>
        <w:numPr>
          <w:ilvl w:val="0"/>
          <w:numId w:val="1"/>
        </w:numPr>
        <w:jc w:val="both"/>
      </w:pPr>
      <w:r w:rsidRPr="000B483A">
        <w:t>nelle altre deliberazioni (</w:t>
      </w:r>
      <w:r w:rsidR="004849BC" w:rsidRPr="000B483A">
        <w:t xml:space="preserve">che </w:t>
      </w:r>
      <w:r w:rsidRPr="000B483A">
        <w:t xml:space="preserve">per </w:t>
      </w:r>
      <w:r w:rsidR="00C057A7" w:rsidRPr="000B483A">
        <w:t xml:space="preserve">esclusione </w:t>
      </w:r>
      <w:r w:rsidR="004849BC" w:rsidRPr="000B483A">
        <w:t>riguardano la</w:t>
      </w:r>
      <w:r w:rsidR="00C057A7" w:rsidRPr="000B483A">
        <w:t xml:space="preserve"> manutenzione</w:t>
      </w:r>
      <w:r w:rsidR="004849BC" w:rsidRPr="000B483A">
        <w:t xml:space="preserve"> straordinaria</w:t>
      </w:r>
      <w:r w:rsidR="00C057A7" w:rsidRPr="000B483A">
        <w:t xml:space="preserve">) il diritto di voto spetta al nudo proprietario, salvo </w:t>
      </w:r>
      <w:r w:rsidR="00A063FC" w:rsidRPr="000B483A">
        <w:t xml:space="preserve">specifici casi in </w:t>
      </w:r>
      <w:r w:rsidR="00C057A7" w:rsidRPr="000B483A">
        <w:t>c</w:t>
      </w:r>
      <w:r w:rsidR="00636E77" w:rsidRPr="000B483A">
        <w:t xml:space="preserve">ui l’usufruttuario intenda eseguire le opere </w:t>
      </w:r>
      <w:r w:rsidR="00A063FC" w:rsidRPr="000B483A">
        <w:t>ex art. 1006 c.c., 985 c.c. e 986 c.c.</w:t>
      </w:r>
      <w:r w:rsidR="00A063FC" w:rsidRPr="000B483A">
        <w:rPr>
          <w:b/>
          <w:u w:val="single"/>
        </w:rPr>
        <w:t xml:space="preserve"> </w:t>
      </w:r>
      <w:r w:rsidR="00132234" w:rsidRPr="000B483A">
        <w:rPr>
          <w:b/>
          <w:u w:val="single"/>
        </w:rPr>
        <w:t>In tutti questi casi,</w:t>
      </w:r>
      <w:r w:rsidR="00A063FC" w:rsidRPr="000B483A">
        <w:t xml:space="preserve"> è specificato che,</w:t>
      </w:r>
      <w:r w:rsidR="00132234" w:rsidRPr="000B483A">
        <w:rPr>
          <w:b/>
          <w:u w:val="single"/>
        </w:rPr>
        <w:t xml:space="preserve"> </w:t>
      </w:r>
      <w:r w:rsidR="001E03CE" w:rsidRPr="000B483A">
        <w:rPr>
          <w:b/>
          <w:u w:val="single"/>
        </w:rPr>
        <w:t>l’avviso di convocazione deve essere comunicato sia all’usufruttuario sia al nudo proprietario</w:t>
      </w:r>
      <w:r w:rsidR="001E03CE" w:rsidRPr="000B483A">
        <w:t xml:space="preserve">. </w:t>
      </w:r>
    </w:p>
    <w:p w:rsidR="001E03CE" w:rsidRPr="000B483A" w:rsidRDefault="001E03CE" w:rsidP="001E03CE">
      <w:pPr>
        <w:jc w:val="both"/>
      </w:pPr>
    </w:p>
    <w:p w:rsidR="00124B7C" w:rsidRPr="000B483A" w:rsidRDefault="00A063FC" w:rsidP="001E03CE">
      <w:pPr>
        <w:jc w:val="both"/>
      </w:pPr>
      <w:r w:rsidRPr="000B483A">
        <w:t>I</w:t>
      </w:r>
      <w:r w:rsidR="00EE03D4" w:rsidRPr="000B483A">
        <w:t xml:space="preserve"> dispost</w:t>
      </w:r>
      <w:r w:rsidRPr="000B483A">
        <w:t>i</w:t>
      </w:r>
      <w:r w:rsidR="00C976FB" w:rsidRPr="000B483A">
        <w:t xml:space="preserve"> suddett</w:t>
      </w:r>
      <w:r w:rsidRPr="000B483A">
        <w:t>i</w:t>
      </w:r>
      <w:r w:rsidR="00EE03D4" w:rsidRPr="000B483A">
        <w:t xml:space="preserve">, nel </w:t>
      </w:r>
      <w:r w:rsidRPr="000B483A">
        <w:t>regolare</w:t>
      </w:r>
      <w:r w:rsidR="00EE03D4" w:rsidRPr="000B483A">
        <w:t xml:space="preserve"> il diritto di voto nel caso di unità immobiliare nell’ambito di un Condominio gravata da usufrutto, non fa</w:t>
      </w:r>
      <w:r w:rsidRPr="000B483A">
        <w:t>nno però altrettanto</w:t>
      </w:r>
      <w:r w:rsidR="00EE03D4" w:rsidRPr="000B483A">
        <w:t xml:space="preserve"> espresso riferimento alla disciplina d</w:t>
      </w:r>
      <w:r w:rsidRPr="000B483A">
        <w:t>ella</w:t>
      </w:r>
      <w:r w:rsidR="00EE03D4" w:rsidRPr="000B483A">
        <w:t xml:space="preserve"> ripartizione delle spese</w:t>
      </w:r>
      <w:r w:rsidR="00124B7C" w:rsidRPr="000B483A">
        <w:t xml:space="preserve">, salvo </w:t>
      </w:r>
      <w:r w:rsidR="00C976FB" w:rsidRPr="000B483A">
        <w:t xml:space="preserve">lasciar intendere </w:t>
      </w:r>
      <w:r w:rsidR="00124B7C" w:rsidRPr="000B483A">
        <w:t xml:space="preserve">un riferimento alla conseguenza logico giuridica per la quale chi deve decidere una spesa sarà chiamato al pagamento della medesima. </w:t>
      </w:r>
    </w:p>
    <w:p w:rsidR="00124B7C" w:rsidRPr="000B483A" w:rsidRDefault="00124B7C" w:rsidP="001E03CE">
      <w:pPr>
        <w:jc w:val="both"/>
      </w:pPr>
    </w:p>
    <w:p w:rsidR="00A063FC" w:rsidRPr="000B483A" w:rsidRDefault="00505958" w:rsidP="001E03CE">
      <w:pPr>
        <w:jc w:val="both"/>
        <w:rPr>
          <w:b/>
          <w:u w:val="single"/>
        </w:rPr>
      </w:pPr>
      <w:r w:rsidRPr="000B483A">
        <w:rPr>
          <w:b/>
          <w:u w:val="single"/>
        </w:rPr>
        <w:t>Il riferimento alla normativa generale in materia di usufrutto</w:t>
      </w:r>
    </w:p>
    <w:p w:rsidR="00124B7C" w:rsidRPr="000B483A" w:rsidRDefault="004849BC" w:rsidP="001E03CE">
      <w:pPr>
        <w:jc w:val="both"/>
        <w:rPr>
          <w:b/>
          <w:u w:val="single"/>
        </w:rPr>
      </w:pPr>
      <w:r w:rsidRPr="000B483A">
        <w:t>S</w:t>
      </w:r>
      <w:r w:rsidR="00A063FC" w:rsidRPr="000B483A">
        <w:t xml:space="preserve">occorre, </w:t>
      </w:r>
      <w:r w:rsidR="000C355B" w:rsidRPr="000B483A">
        <w:t>dunque</w:t>
      </w:r>
      <w:r w:rsidR="00A063FC" w:rsidRPr="000B483A">
        <w:t>,</w:t>
      </w:r>
      <w:r w:rsidR="000C355B" w:rsidRPr="000B483A">
        <w:t xml:space="preserve"> </w:t>
      </w:r>
      <w:r w:rsidR="00A063FC" w:rsidRPr="000B483A">
        <w:t xml:space="preserve">inevitabilmente </w:t>
      </w:r>
      <w:r w:rsidR="000C355B" w:rsidRPr="000B483A">
        <w:t xml:space="preserve">– per quanto compatibile – il riferimento alla normativa generale sugli obblighi nascenti dall’usufrutto ed in particolare </w:t>
      </w:r>
      <w:r w:rsidR="00201B52" w:rsidRPr="000B483A">
        <w:t>gli</w:t>
      </w:r>
      <w:r w:rsidR="000C355B" w:rsidRPr="000B483A">
        <w:t xml:space="preserve"> articoli 1004 e 1005 del codice civile</w:t>
      </w:r>
      <w:r w:rsidR="00201B52" w:rsidRPr="000B483A">
        <w:t xml:space="preserve"> che riguardano, per l’appunto, la ripartizione delle spese tra nudo proprietario ed usufruttuario. </w:t>
      </w:r>
      <w:r w:rsidR="000C355B" w:rsidRPr="000B483A">
        <w:t xml:space="preserve"> </w:t>
      </w:r>
    </w:p>
    <w:p w:rsidR="006338E7" w:rsidRPr="000B483A" w:rsidRDefault="000C355B" w:rsidP="006338E7">
      <w:pPr>
        <w:jc w:val="both"/>
        <w:rPr>
          <w:rFonts w:cstheme="minorHAnsi"/>
        </w:rPr>
      </w:pPr>
      <w:r w:rsidRPr="000B483A">
        <w:lastRenderedPageBreak/>
        <w:t xml:space="preserve">Ai sensi dell’articolo 1004 c.c. </w:t>
      </w:r>
      <w:r w:rsidR="00505958" w:rsidRPr="000B483A">
        <w:t xml:space="preserve">sono a carico dell’usufruttuario </w:t>
      </w:r>
      <w:r w:rsidRPr="000B483A">
        <w:t>le spese ed in generale gli oneri alla custodia, amministrazione e manutenzione ordinaria</w:t>
      </w:r>
      <w:r w:rsidR="00505958" w:rsidRPr="000B483A">
        <w:t xml:space="preserve">, nonché </w:t>
      </w:r>
      <w:r w:rsidR="006338E7" w:rsidRPr="000B483A">
        <w:rPr>
          <w:rFonts w:cstheme="minorHAnsi"/>
        </w:rPr>
        <w:t>le riparazioni straordinarie rese necessarie dall’inadempimento degli obblighi di manutenzione.</w:t>
      </w:r>
    </w:p>
    <w:p w:rsidR="006338E7" w:rsidRPr="000B483A" w:rsidRDefault="00505958" w:rsidP="006338E7">
      <w:pPr>
        <w:jc w:val="both"/>
      </w:pPr>
      <w:r w:rsidRPr="000B483A">
        <w:t xml:space="preserve">Per converso, ai sensi dell’articolo 1005 c.c., </w:t>
      </w:r>
      <w:r w:rsidR="006338E7" w:rsidRPr="000B483A">
        <w:rPr>
          <w:rFonts w:cstheme="minorHAnsi"/>
          <w:b/>
        </w:rPr>
        <w:t xml:space="preserve">Le riparazioni straordinarie sono a carico del </w:t>
      </w:r>
      <w:r w:rsidR="00C976FB" w:rsidRPr="000B483A">
        <w:rPr>
          <w:rFonts w:cstheme="minorHAnsi"/>
          <w:b/>
        </w:rPr>
        <w:t xml:space="preserve">nudo </w:t>
      </w:r>
      <w:r w:rsidR="006338E7" w:rsidRPr="000B483A">
        <w:rPr>
          <w:rFonts w:cstheme="minorHAnsi"/>
          <w:b/>
        </w:rPr>
        <w:t>proprietario</w:t>
      </w:r>
      <w:r w:rsidR="006338E7" w:rsidRPr="000B483A">
        <w:rPr>
          <w:rFonts w:cstheme="minorHAnsi"/>
        </w:rPr>
        <w:t>.</w:t>
      </w:r>
      <w:r w:rsidRPr="000B483A">
        <w:t xml:space="preserve"> </w:t>
      </w:r>
      <w:r w:rsidRPr="000B483A">
        <w:rPr>
          <w:rFonts w:cstheme="minorHAnsi"/>
        </w:rPr>
        <w:t>L’articolo prosegue, poi, nel precisare che, le r</w:t>
      </w:r>
      <w:r w:rsidR="006338E7" w:rsidRPr="000B483A">
        <w:rPr>
          <w:rFonts w:cstheme="minorHAnsi"/>
        </w:rPr>
        <w:t xml:space="preserve">iparazioni straordinarie sono quelle necessarie ad assicurare la stabilità dei muri maestri e delle volte, la sostituzione delle travi, il rinnovamento per intero o per una parte notevole dei tetti, solai, scale, argini, acquedotti, muri di sostegno e di cinta. </w:t>
      </w:r>
    </w:p>
    <w:p w:rsidR="00124B7C" w:rsidRPr="000B483A" w:rsidRDefault="00124B7C" w:rsidP="001E03CE">
      <w:pPr>
        <w:jc w:val="both"/>
        <w:rPr>
          <w:rFonts w:cstheme="minorHAnsi"/>
        </w:rPr>
      </w:pPr>
    </w:p>
    <w:p w:rsidR="00047429" w:rsidRPr="000B483A" w:rsidRDefault="008C3740" w:rsidP="001E03CE">
      <w:pPr>
        <w:jc w:val="both"/>
        <w:rPr>
          <w:rFonts w:cstheme="minorHAnsi"/>
        </w:rPr>
      </w:pPr>
      <w:r w:rsidRPr="000B483A">
        <w:rPr>
          <w:rFonts w:cstheme="minorHAnsi"/>
        </w:rPr>
        <w:t xml:space="preserve">Effettivamente </w:t>
      </w:r>
      <w:r w:rsidR="00047429" w:rsidRPr="000B483A">
        <w:rPr>
          <w:rFonts w:cstheme="minorHAnsi"/>
        </w:rPr>
        <w:t>da una prima lettura del combinato disposto degli articoli 1004 e 1005 c.c. può sorgere un legittimo dubbio in ordine all’attribuzione a carico del nudo proprietario di spese per la tinteggiatura e ripristino di porzioni d’intonaco dei muri perimetrali</w:t>
      </w:r>
      <w:r w:rsidRPr="000B483A">
        <w:rPr>
          <w:rFonts w:cstheme="minorHAnsi"/>
        </w:rPr>
        <w:t xml:space="preserve">, ritenendole </w:t>
      </w:r>
      <w:r w:rsidR="00C976FB" w:rsidRPr="000B483A">
        <w:rPr>
          <w:rFonts w:cstheme="minorHAnsi"/>
        </w:rPr>
        <w:t xml:space="preserve">viceversa </w:t>
      </w:r>
      <w:r w:rsidRPr="000B483A">
        <w:rPr>
          <w:rFonts w:cstheme="minorHAnsi"/>
        </w:rPr>
        <w:t>a carico dell’usufruttuario</w:t>
      </w:r>
      <w:r w:rsidR="00201B52" w:rsidRPr="000B483A">
        <w:rPr>
          <w:rFonts w:cstheme="minorHAnsi"/>
        </w:rPr>
        <w:t xml:space="preserve"> in quanto non di entità </w:t>
      </w:r>
      <w:r w:rsidR="004849BC" w:rsidRPr="000B483A">
        <w:rPr>
          <w:rFonts w:cstheme="minorHAnsi"/>
        </w:rPr>
        <w:t xml:space="preserve">e qualità </w:t>
      </w:r>
      <w:r w:rsidR="00201B52" w:rsidRPr="000B483A">
        <w:rPr>
          <w:rFonts w:cstheme="minorHAnsi"/>
        </w:rPr>
        <w:t xml:space="preserve">tale da ascriverle nell’ambito dell’elencazione di cui all’articolo 1005 c.c. </w:t>
      </w:r>
    </w:p>
    <w:p w:rsidR="008C3740" w:rsidRPr="000B483A" w:rsidRDefault="008C3740" w:rsidP="001E03CE">
      <w:pPr>
        <w:jc w:val="both"/>
        <w:rPr>
          <w:rFonts w:cstheme="minorHAnsi"/>
        </w:rPr>
      </w:pPr>
    </w:p>
    <w:p w:rsidR="00C976FB" w:rsidRPr="000B483A" w:rsidRDefault="008C3740" w:rsidP="00C976FB">
      <w:pPr>
        <w:shd w:val="clear" w:color="auto" w:fill="FFFFFF"/>
        <w:jc w:val="both"/>
        <w:rPr>
          <w:rFonts w:cstheme="minorHAnsi"/>
          <w:bCs/>
          <w:color w:val="000000" w:themeColor="text1"/>
        </w:rPr>
      </w:pPr>
      <w:r w:rsidRPr="000B483A">
        <w:rPr>
          <w:rFonts w:cstheme="minorHAnsi"/>
          <w:b/>
          <w:u w:val="single"/>
        </w:rPr>
        <w:t>Soccorrono d’aiuto all’interprete alcune considerazioni elaborate dalla giurisprudenza</w:t>
      </w:r>
      <w:r w:rsidRPr="000B483A">
        <w:rPr>
          <w:rFonts w:cstheme="minorHAnsi"/>
        </w:rPr>
        <w:t xml:space="preserve"> in casi ove è stata imputata la spesa al nudo proprietario</w:t>
      </w:r>
      <w:r w:rsidR="00244D01" w:rsidRPr="000B483A">
        <w:rPr>
          <w:rFonts w:cstheme="minorHAnsi"/>
        </w:rPr>
        <w:t xml:space="preserve"> (vedasi </w:t>
      </w:r>
      <w:r w:rsidR="00E41CEA" w:rsidRPr="000B483A">
        <w:rPr>
          <w:rFonts w:cstheme="minorHAnsi"/>
        </w:rPr>
        <w:t xml:space="preserve">così la </w:t>
      </w:r>
      <w:r w:rsidR="00E41CEA" w:rsidRPr="000B483A">
        <w:rPr>
          <w:rStyle w:val="ng-binding"/>
          <w:rFonts w:cstheme="minorHAnsi"/>
          <w:bCs/>
          <w:color w:val="000000"/>
        </w:rPr>
        <w:t>C</w:t>
      </w:r>
      <w:r w:rsidR="004E1CF0" w:rsidRPr="000B483A">
        <w:rPr>
          <w:rStyle w:val="ng-binding"/>
          <w:rFonts w:cstheme="minorHAnsi"/>
          <w:bCs/>
          <w:color w:val="000000"/>
        </w:rPr>
        <w:t xml:space="preserve">orte appello </w:t>
      </w:r>
      <w:r w:rsidR="00E41CEA" w:rsidRPr="000B483A">
        <w:rPr>
          <w:rStyle w:val="ng-binding"/>
          <w:rFonts w:cstheme="minorHAnsi"/>
          <w:bCs/>
          <w:color w:val="000000"/>
        </w:rPr>
        <w:t xml:space="preserve">di </w:t>
      </w:r>
      <w:r w:rsidR="004E1CF0" w:rsidRPr="000B483A">
        <w:rPr>
          <w:rStyle w:val="ng-binding"/>
          <w:rFonts w:cstheme="minorHAnsi"/>
          <w:bCs/>
          <w:color w:val="000000"/>
        </w:rPr>
        <w:t xml:space="preserve">Genova sez. II, 06/03/2019, </w:t>
      </w:r>
      <w:r w:rsidR="000060A2" w:rsidRPr="000B483A">
        <w:rPr>
          <w:rStyle w:val="ng-binding"/>
          <w:rFonts w:cstheme="minorHAnsi"/>
          <w:bCs/>
          <w:color w:val="000000"/>
        </w:rPr>
        <w:t xml:space="preserve">N° </w:t>
      </w:r>
      <w:r w:rsidR="004E1CF0" w:rsidRPr="000B483A">
        <w:rPr>
          <w:rStyle w:val="ng-binding"/>
          <w:rFonts w:cstheme="minorHAnsi"/>
          <w:bCs/>
          <w:color w:val="000000"/>
        </w:rPr>
        <w:t xml:space="preserve">324, </w:t>
      </w:r>
      <w:r w:rsidR="00E41CEA" w:rsidRPr="000B483A">
        <w:rPr>
          <w:rStyle w:val="ng-binding"/>
          <w:rFonts w:cstheme="minorHAnsi"/>
          <w:bCs/>
          <w:color w:val="000000"/>
        </w:rPr>
        <w:t xml:space="preserve">la </w:t>
      </w:r>
      <w:r w:rsidR="004E1CF0" w:rsidRPr="000B483A">
        <w:rPr>
          <w:rStyle w:val="ng-binding"/>
          <w:rFonts w:cstheme="minorHAnsi"/>
          <w:bCs/>
          <w:color w:val="000000" w:themeColor="text1"/>
        </w:rPr>
        <w:t>Cassazione civile sez. VI, 06/05/2021 N°11839</w:t>
      </w:r>
      <w:r w:rsidR="00E41CEA" w:rsidRPr="000B483A">
        <w:rPr>
          <w:rStyle w:val="ng-binding"/>
          <w:rFonts w:cstheme="minorHAnsi"/>
          <w:bCs/>
          <w:color w:val="000000" w:themeColor="text1"/>
        </w:rPr>
        <w:t xml:space="preserve"> oppure la Cassazione Civile </w:t>
      </w:r>
      <w:r w:rsidR="00804C14" w:rsidRPr="000B483A">
        <w:rPr>
          <w:rFonts w:eastAsia="Times New Roman" w:cstheme="minorHAnsi"/>
          <w:color w:val="000000" w:themeColor="text1"/>
          <w:lang w:eastAsia="it-IT"/>
        </w:rPr>
        <w:t>sez. II, 04/07/2013, N°16774</w:t>
      </w:r>
      <w:r w:rsidR="000060A2" w:rsidRPr="000B483A">
        <w:rPr>
          <w:rFonts w:cstheme="minorHAnsi"/>
          <w:bCs/>
          <w:color w:val="000000" w:themeColor="text1"/>
        </w:rPr>
        <w:t>).</w:t>
      </w:r>
    </w:p>
    <w:p w:rsidR="007D225A" w:rsidRPr="000B483A" w:rsidRDefault="007D225A" w:rsidP="00C976FB">
      <w:pPr>
        <w:shd w:val="clear" w:color="auto" w:fill="FFFFFF"/>
        <w:jc w:val="both"/>
        <w:rPr>
          <w:rFonts w:cstheme="minorHAnsi"/>
          <w:b/>
          <w:bCs/>
          <w:color w:val="000000" w:themeColor="text1"/>
        </w:rPr>
      </w:pPr>
    </w:p>
    <w:p w:rsidR="008C3740" w:rsidRPr="000B483A" w:rsidRDefault="00C976FB" w:rsidP="00C976FB">
      <w:pPr>
        <w:shd w:val="clear" w:color="auto" w:fill="FFFFFF"/>
        <w:jc w:val="both"/>
        <w:rPr>
          <w:rFonts w:cstheme="minorHAnsi"/>
          <w:b/>
          <w:bCs/>
          <w:color w:val="000000" w:themeColor="text1"/>
        </w:rPr>
      </w:pPr>
      <w:r w:rsidRPr="000B483A">
        <w:rPr>
          <w:rFonts w:cstheme="minorHAnsi"/>
          <w:b/>
          <w:bCs/>
          <w:color w:val="000000" w:themeColor="text1"/>
        </w:rPr>
        <w:t xml:space="preserve">Ai fini dell’imputabilità della spesa di </w:t>
      </w:r>
      <w:r w:rsidR="00804C14" w:rsidRPr="000B483A">
        <w:rPr>
          <w:rFonts w:cstheme="minorHAnsi"/>
          <w:b/>
          <w:bCs/>
          <w:color w:val="000000" w:themeColor="text1"/>
        </w:rPr>
        <w:t xml:space="preserve">manutenzione e </w:t>
      </w:r>
      <w:r w:rsidRPr="000B483A">
        <w:rPr>
          <w:rFonts w:cstheme="minorHAnsi"/>
          <w:b/>
          <w:bCs/>
          <w:color w:val="000000" w:themeColor="text1"/>
        </w:rPr>
        <w:t xml:space="preserve">tinteggiatura delle facciate condominiale è stato difatti osservato in giurisprudenza che: </w:t>
      </w:r>
    </w:p>
    <w:p w:rsidR="008C3740" w:rsidRPr="000B483A" w:rsidRDefault="008C3740" w:rsidP="001E03CE">
      <w:pPr>
        <w:pStyle w:val="Paragrafoelenco"/>
        <w:numPr>
          <w:ilvl w:val="0"/>
          <w:numId w:val="2"/>
        </w:numPr>
        <w:jc w:val="both"/>
        <w:rPr>
          <w:rFonts w:cstheme="minorHAnsi"/>
        </w:rPr>
      </w:pPr>
      <w:r w:rsidRPr="000B483A">
        <w:rPr>
          <w:rFonts w:cstheme="minorHAnsi"/>
        </w:rPr>
        <w:t xml:space="preserve">le spese afferiscono </w:t>
      </w:r>
      <w:r w:rsidRPr="000B483A">
        <w:rPr>
          <w:rFonts w:cstheme="minorHAnsi"/>
          <w:b/>
          <w:color w:val="000000" w:themeColor="text1"/>
        </w:rPr>
        <w:t xml:space="preserve">a </w:t>
      </w:r>
      <w:r w:rsidRPr="000B483A">
        <w:rPr>
          <w:rFonts w:cstheme="minorHAnsi"/>
          <w:b/>
          <w:color w:val="000000" w:themeColor="text1"/>
          <w:u w:val="single"/>
        </w:rPr>
        <w:t>muri maestri dell'edificio</w:t>
      </w:r>
      <w:r w:rsidRPr="000B483A">
        <w:rPr>
          <w:rFonts w:cstheme="minorHAnsi"/>
          <w:b/>
          <w:color w:val="000000" w:themeColor="text1"/>
        </w:rPr>
        <w:t xml:space="preserve"> </w:t>
      </w:r>
      <w:r w:rsidRPr="000B483A">
        <w:rPr>
          <w:rFonts w:cstheme="minorHAnsi"/>
          <w:color w:val="000000" w:themeColor="text1"/>
        </w:rPr>
        <w:t xml:space="preserve">che </w:t>
      </w:r>
      <w:r w:rsidR="00F64EF6" w:rsidRPr="000B483A">
        <w:rPr>
          <w:rFonts w:cstheme="minorHAnsi"/>
          <w:color w:val="000000" w:themeColor="text1"/>
        </w:rPr>
        <w:t xml:space="preserve">come tali </w:t>
      </w:r>
      <w:r w:rsidRPr="000B483A">
        <w:rPr>
          <w:rFonts w:cstheme="minorHAnsi"/>
          <w:color w:val="000000" w:themeColor="text1"/>
        </w:rPr>
        <w:t>sono parti necessarie del Condominio che debbono essere mantenute, attraverso interventi conservativi e rinnovativi, in condizioni di efficienza strutturale e strumentale</w:t>
      </w:r>
      <w:r w:rsidR="00E94B57" w:rsidRPr="000B483A">
        <w:rPr>
          <w:rFonts w:cstheme="minorHAnsi"/>
          <w:color w:val="000000" w:themeColor="text1"/>
        </w:rPr>
        <w:t>;</w:t>
      </w:r>
    </w:p>
    <w:p w:rsidR="00E110B9" w:rsidRPr="000B483A" w:rsidRDefault="00E110B9" w:rsidP="00E110B9">
      <w:pPr>
        <w:pStyle w:val="Paragrafoelenco"/>
        <w:numPr>
          <w:ilvl w:val="0"/>
          <w:numId w:val="2"/>
        </w:numPr>
        <w:jc w:val="both"/>
        <w:rPr>
          <w:rFonts w:cstheme="minorHAnsi"/>
          <w:b/>
          <w:u w:val="single"/>
        </w:rPr>
      </w:pPr>
      <w:r w:rsidRPr="000B483A">
        <w:rPr>
          <w:rFonts w:cstheme="minorHAnsi"/>
          <w:b/>
          <w:color w:val="4A4A4A"/>
        </w:rPr>
        <w:t>l</w:t>
      </w:r>
      <w:r w:rsidRPr="000B483A">
        <w:rPr>
          <w:rFonts w:cstheme="minorHAnsi"/>
          <w:b/>
          <w:color w:val="4A4A4A"/>
        </w:rPr>
        <w:t>’attività conservativa si appalesa necessaria</w:t>
      </w:r>
      <w:r w:rsidRPr="000B483A">
        <w:rPr>
          <w:rFonts w:cstheme="minorHAnsi"/>
          <w:color w:val="4A4A4A"/>
        </w:rPr>
        <w:t xml:space="preserve"> </w:t>
      </w:r>
      <w:r w:rsidRPr="000B483A">
        <w:rPr>
          <w:rFonts w:cstheme="minorHAnsi"/>
          <w:b/>
          <w:color w:val="4A4A4A"/>
          <w:u w:val="single"/>
        </w:rPr>
        <w:t>per preservare il valore dello stabile</w:t>
      </w:r>
      <w:r w:rsidRPr="000B483A">
        <w:rPr>
          <w:rFonts w:cstheme="minorHAnsi"/>
          <w:color w:val="4A4A4A"/>
        </w:rPr>
        <w:t xml:space="preserve"> e, in conseguenza, della unità immobiliare in nuda proprietà esclusiva in esso allocata </w:t>
      </w:r>
      <w:r w:rsidRPr="000B483A">
        <w:rPr>
          <w:rFonts w:cstheme="minorHAnsi"/>
          <w:b/>
          <w:color w:val="4A4A4A"/>
          <w:u w:val="single"/>
        </w:rPr>
        <w:t>non avendo, tali causali, inerenza diretta al pertinente suo godimento.</w:t>
      </w:r>
    </w:p>
    <w:p w:rsidR="00F64EF6" w:rsidRPr="000B483A" w:rsidRDefault="008C3740" w:rsidP="00F64EF6">
      <w:pPr>
        <w:pStyle w:val="Paragrafoelenco"/>
        <w:numPr>
          <w:ilvl w:val="0"/>
          <w:numId w:val="2"/>
        </w:numPr>
        <w:jc w:val="both"/>
        <w:rPr>
          <w:rFonts w:cstheme="minorHAnsi"/>
        </w:rPr>
      </w:pPr>
      <w:r w:rsidRPr="000B483A">
        <w:rPr>
          <w:rFonts w:cstheme="minorHAnsi"/>
          <w:b/>
          <w:color w:val="000000" w:themeColor="text1"/>
          <w:u w:val="single"/>
        </w:rPr>
        <w:t>l'entità significativa della spesa</w:t>
      </w:r>
      <w:r w:rsidR="00F64EF6" w:rsidRPr="000B483A">
        <w:rPr>
          <w:rFonts w:cstheme="minorHAnsi"/>
          <w:color w:val="000000" w:themeColor="text1"/>
        </w:rPr>
        <w:t xml:space="preserve"> che la distingue da quelle ordinarie; </w:t>
      </w:r>
    </w:p>
    <w:p w:rsidR="00F64EF6" w:rsidRPr="000B483A" w:rsidRDefault="00F64EF6" w:rsidP="00F64EF6">
      <w:pPr>
        <w:pStyle w:val="Paragrafoelenco"/>
        <w:numPr>
          <w:ilvl w:val="0"/>
          <w:numId w:val="2"/>
        </w:numPr>
        <w:jc w:val="both"/>
        <w:rPr>
          <w:rFonts w:cstheme="minorHAnsi"/>
        </w:rPr>
      </w:pPr>
      <w:r w:rsidRPr="000B483A">
        <w:rPr>
          <w:rFonts w:cstheme="minorHAnsi"/>
          <w:b/>
          <w:color w:val="000000" w:themeColor="text1"/>
          <w:u w:val="single"/>
        </w:rPr>
        <w:t xml:space="preserve">La </w:t>
      </w:r>
      <w:r w:rsidR="008C3740" w:rsidRPr="000B483A">
        <w:rPr>
          <w:rFonts w:cstheme="minorHAnsi"/>
          <w:b/>
          <w:color w:val="000000" w:themeColor="text1"/>
          <w:u w:val="single"/>
        </w:rPr>
        <w:t xml:space="preserve">causalità </w:t>
      </w:r>
      <w:r w:rsidRPr="000B483A">
        <w:rPr>
          <w:rFonts w:cstheme="minorHAnsi"/>
          <w:b/>
          <w:color w:val="000000" w:themeColor="text1"/>
          <w:u w:val="single"/>
        </w:rPr>
        <w:t xml:space="preserve">“straordinaria” </w:t>
      </w:r>
      <w:r w:rsidR="008C3740" w:rsidRPr="000B483A">
        <w:rPr>
          <w:rFonts w:cstheme="minorHAnsi"/>
          <w:b/>
          <w:color w:val="000000" w:themeColor="text1"/>
          <w:u w:val="single"/>
        </w:rPr>
        <w:t xml:space="preserve">della </w:t>
      </w:r>
      <w:r w:rsidRPr="000B483A">
        <w:rPr>
          <w:rFonts w:cstheme="minorHAnsi"/>
          <w:b/>
          <w:color w:val="000000" w:themeColor="text1"/>
          <w:u w:val="single"/>
        </w:rPr>
        <w:t xml:space="preserve">spesa </w:t>
      </w:r>
      <w:r w:rsidR="00244D01" w:rsidRPr="000B483A">
        <w:rPr>
          <w:rFonts w:cstheme="minorHAnsi"/>
          <w:color w:val="000000" w:themeColor="text1"/>
        </w:rPr>
        <w:t xml:space="preserve">dal punto di vista temporale. </w:t>
      </w:r>
    </w:p>
    <w:p w:rsidR="00181195" w:rsidRPr="000B483A" w:rsidRDefault="00181195" w:rsidP="00E110B9">
      <w:pPr>
        <w:jc w:val="both"/>
        <w:rPr>
          <w:rFonts w:cstheme="minorHAnsi"/>
        </w:rPr>
      </w:pPr>
    </w:p>
    <w:p w:rsidR="008C3740" w:rsidRPr="000B483A" w:rsidRDefault="00244D01" w:rsidP="00244D01">
      <w:pPr>
        <w:jc w:val="both"/>
        <w:rPr>
          <w:rFonts w:cstheme="minorHAnsi"/>
          <w:b/>
          <w:color w:val="000000" w:themeColor="text1"/>
        </w:rPr>
      </w:pPr>
      <w:r w:rsidRPr="000B483A">
        <w:rPr>
          <w:rFonts w:cstheme="minorHAnsi"/>
          <w:color w:val="000000" w:themeColor="text1"/>
        </w:rPr>
        <w:t xml:space="preserve">Alla luce delle suddette considerazioni, può </w:t>
      </w:r>
      <w:r w:rsidR="00473ECC" w:rsidRPr="000B483A">
        <w:rPr>
          <w:rFonts w:cstheme="minorHAnsi"/>
          <w:color w:val="000000" w:themeColor="text1"/>
        </w:rPr>
        <w:t xml:space="preserve">assumersi </w:t>
      </w:r>
      <w:r w:rsidRPr="000B483A">
        <w:rPr>
          <w:rFonts w:cstheme="minorHAnsi"/>
          <w:color w:val="000000" w:themeColor="text1"/>
        </w:rPr>
        <w:t xml:space="preserve">che </w:t>
      </w:r>
      <w:r w:rsidR="00804C14" w:rsidRPr="000B483A">
        <w:rPr>
          <w:rFonts w:cstheme="minorHAnsi"/>
          <w:color w:val="000000" w:themeColor="text1"/>
        </w:rPr>
        <w:t xml:space="preserve">generalmente </w:t>
      </w:r>
      <w:r w:rsidRPr="000B483A">
        <w:rPr>
          <w:rFonts w:cstheme="minorHAnsi"/>
          <w:b/>
          <w:color w:val="000000" w:themeColor="text1"/>
        </w:rPr>
        <w:t xml:space="preserve">le spese per la tinteggiatura e rinnovamento parziale degli intonaci, agevolate fiscalmente con il </w:t>
      </w:r>
      <w:r w:rsidRPr="000B483A">
        <w:rPr>
          <w:rFonts w:cstheme="minorHAnsi"/>
          <w:b/>
          <w:i/>
          <w:color w:val="000000" w:themeColor="text1"/>
        </w:rPr>
        <w:t>“Bonus facciate”</w:t>
      </w:r>
      <w:r w:rsidR="00804C14" w:rsidRPr="000B483A">
        <w:rPr>
          <w:rFonts w:cstheme="minorHAnsi"/>
          <w:color w:val="000000" w:themeColor="text1"/>
        </w:rPr>
        <w:t xml:space="preserve"> tipicamente oggetto d’interventi straordinari di notevole entità</w:t>
      </w:r>
      <w:r w:rsidRPr="000B483A">
        <w:rPr>
          <w:rFonts w:cstheme="minorHAnsi"/>
          <w:b/>
          <w:color w:val="000000" w:themeColor="text1"/>
        </w:rPr>
        <w:t xml:space="preserve">, possono generalmente e salvo casi di interventi minimali, </w:t>
      </w:r>
      <w:r w:rsidRPr="000B483A">
        <w:rPr>
          <w:rFonts w:cstheme="minorHAnsi"/>
          <w:b/>
          <w:color w:val="000000" w:themeColor="text1"/>
          <w:u w:val="single"/>
        </w:rPr>
        <w:t xml:space="preserve">legittimamente ascriversi </w:t>
      </w:r>
      <w:r w:rsidR="008C3740" w:rsidRPr="000B483A">
        <w:rPr>
          <w:rFonts w:cstheme="minorHAnsi"/>
          <w:b/>
          <w:color w:val="000000" w:themeColor="text1"/>
          <w:u w:val="single"/>
        </w:rPr>
        <w:t>a carico del nudo proprietario e non dell'usufruttuari</w:t>
      </w:r>
      <w:r w:rsidRPr="000B483A">
        <w:rPr>
          <w:rFonts w:cstheme="minorHAnsi"/>
          <w:b/>
          <w:color w:val="000000" w:themeColor="text1"/>
          <w:u w:val="single"/>
        </w:rPr>
        <w:t>o</w:t>
      </w:r>
      <w:r w:rsidR="000060A2" w:rsidRPr="000B483A">
        <w:rPr>
          <w:rFonts w:cstheme="minorHAnsi"/>
          <w:b/>
          <w:color w:val="000000" w:themeColor="text1"/>
        </w:rPr>
        <w:t>.</w:t>
      </w:r>
    </w:p>
    <w:p w:rsidR="000060A2" w:rsidRPr="000B483A" w:rsidRDefault="000060A2" w:rsidP="00244D01">
      <w:pPr>
        <w:jc w:val="both"/>
        <w:rPr>
          <w:rFonts w:cstheme="minorHAnsi"/>
        </w:rPr>
      </w:pPr>
    </w:p>
    <w:p w:rsidR="004629A5" w:rsidRPr="000B483A" w:rsidRDefault="004629A5" w:rsidP="00244D01">
      <w:pPr>
        <w:jc w:val="both"/>
        <w:rPr>
          <w:rFonts w:cstheme="minorHAnsi"/>
          <w:b/>
          <w:u w:val="single"/>
        </w:rPr>
      </w:pPr>
      <w:r w:rsidRPr="000B483A">
        <w:rPr>
          <w:rFonts w:cstheme="minorHAnsi"/>
          <w:b/>
          <w:u w:val="single"/>
        </w:rPr>
        <w:t>All’Assemblea vota il nudo proprietario</w:t>
      </w:r>
    </w:p>
    <w:p w:rsidR="004629A5" w:rsidRPr="000B483A" w:rsidRDefault="00804C14" w:rsidP="00244D01">
      <w:pPr>
        <w:jc w:val="both"/>
        <w:rPr>
          <w:rFonts w:cstheme="minorHAnsi"/>
        </w:rPr>
      </w:pPr>
      <w:r w:rsidRPr="000B483A">
        <w:rPr>
          <w:rFonts w:cstheme="minorHAnsi"/>
        </w:rPr>
        <w:t>Il</w:t>
      </w:r>
      <w:r w:rsidR="000060A2" w:rsidRPr="000B483A">
        <w:rPr>
          <w:rFonts w:cstheme="minorHAnsi"/>
        </w:rPr>
        <w:t xml:space="preserve"> diritto di voto all’assemblea dei condomini spetta al nudo proprietario, ai sensi del citato ottavo comma dell’articolo 67 delle disposizioni di attuazione al codice civile</w:t>
      </w:r>
      <w:r w:rsidRPr="000B483A">
        <w:rPr>
          <w:rFonts w:cstheme="minorHAnsi"/>
        </w:rPr>
        <w:t xml:space="preserve">, ascrivendosi gli interventi alla </w:t>
      </w:r>
      <w:r w:rsidR="00AA0708" w:rsidRPr="000B483A">
        <w:rPr>
          <w:rFonts w:cstheme="minorHAnsi"/>
        </w:rPr>
        <w:t xml:space="preserve">manutenzione straordinaria dell’edificio. </w:t>
      </w:r>
    </w:p>
    <w:p w:rsidR="004629A5" w:rsidRPr="000B483A" w:rsidRDefault="004629A5" w:rsidP="00244D01">
      <w:pPr>
        <w:jc w:val="both"/>
        <w:rPr>
          <w:rFonts w:cstheme="minorHAnsi"/>
        </w:rPr>
      </w:pPr>
    </w:p>
    <w:p w:rsidR="004629A5" w:rsidRPr="000B483A" w:rsidRDefault="004629A5" w:rsidP="00244D01">
      <w:pPr>
        <w:jc w:val="both"/>
        <w:rPr>
          <w:rFonts w:cstheme="minorHAnsi"/>
          <w:b/>
          <w:u w:val="single"/>
        </w:rPr>
      </w:pPr>
      <w:r w:rsidRPr="000B483A">
        <w:rPr>
          <w:rFonts w:cstheme="minorHAnsi"/>
          <w:b/>
          <w:u w:val="single"/>
        </w:rPr>
        <w:t xml:space="preserve">All’Assemblea vanno convocati entrambi </w:t>
      </w:r>
    </w:p>
    <w:p w:rsidR="000060A2" w:rsidRPr="000B483A" w:rsidRDefault="004629A5" w:rsidP="00244D01">
      <w:pPr>
        <w:jc w:val="both"/>
        <w:rPr>
          <w:rFonts w:cstheme="minorHAnsi"/>
        </w:rPr>
      </w:pPr>
      <w:r w:rsidRPr="000B483A">
        <w:rPr>
          <w:rFonts w:cstheme="minorHAnsi"/>
        </w:rPr>
        <w:t>A</w:t>
      </w:r>
      <w:r w:rsidR="000060A2" w:rsidRPr="000B483A">
        <w:rPr>
          <w:rFonts w:cstheme="minorHAnsi"/>
        </w:rPr>
        <w:t xml:space="preserve">ll’assemblea </w:t>
      </w:r>
      <w:r w:rsidRPr="000B483A">
        <w:rPr>
          <w:rFonts w:cstheme="minorHAnsi"/>
        </w:rPr>
        <w:t xml:space="preserve">chiamata a deliberare le opere </w:t>
      </w:r>
      <w:r w:rsidR="000060A2" w:rsidRPr="000B483A">
        <w:rPr>
          <w:rFonts w:cstheme="minorHAnsi"/>
        </w:rPr>
        <w:t>dovranno essere convocati sia il nudo proprietario sia l’usufruttuario</w:t>
      </w:r>
      <w:r w:rsidRPr="000B483A">
        <w:rPr>
          <w:rFonts w:cstheme="minorHAnsi"/>
        </w:rPr>
        <w:t xml:space="preserve"> come previsto dall’ottavo comma dell’articolo 67 delle disposizioni di attuazione al codice civile. </w:t>
      </w:r>
    </w:p>
    <w:p w:rsidR="004629A5" w:rsidRPr="000B483A" w:rsidRDefault="004629A5" w:rsidP="00244D01">
      <w:pPr>
        <w:jc w:val="both"/>
        <w:rPr>
          <w:rFonts w:cstheme="minorHAnsi"/>
        </w:rPr>
      </w:pPr>
      <w:r w:rsidRPr="000B483A">
        <w:rPr>
          <w:rFonts w:cstheme="minorHAnsi"/>
        </w:rPr>
        <w:t>Può ritenersi che</w:t>
      </w:r>
      <w:r w:rsidR="007E64CE" w:rsidRPr="000B483A">
        <w:rPr>
          <w:rFonts w:cstheme="minorHAnsi"/>
        </w:rPr>
        <w:t>,</w:t>
      </w:r>
      <w:r w:rsidRPr="000B483A">
        <w:rPr>
          <w:rFonts w:cstheme="minorHAnsi"/>
        </w:rPr>
        <w:t xml:space="preserve"> tale previsione trovi giustificazione nella possibilità per l’usufruttuario di sostituirsi al proprietario nel caso di ingiustificato rifiuto del medesimo </w:t>
      </w:r>
      <w:r w:rsidR="007E64CE" w:rsidRPr="000B483A">
        <w:rPr>
          <w:rFonts w:cstheme="minorHAnsi"/>
        </w:rPr>
        <w:t>(</w:t>
      </w:r>
      <w:r w:rsidRPr="000B483A">
        <w:rPr>
          <w:rFonts w:cstheme="minorHAnsi"/>
        </w:rPr>
        <w:t>ex art. 1006 c.c.</w:t>
      </w:r>
      <w:r w:rsidR="007E64CE" w:rsidRPr="000B483A">
        <w:rPr>
          <w:rFonts w:cstheme="minorHAnsi"/>
        </w:rPr>
        <w:t xml:space="preserve">) oppure per </w:t>
      </w:r>
      <w:r w:rsidR="007E64CE" w:rsidRPr="000B483A">
        <w:rPr>
          <w:rFonts w:cstheme="minorHAnsi"/>
        </w:rPr>
        <w:lastRenderedPageBreak/>
        <w:t xml:space="preserve">i casi di miglioramenti (ex art. 985 c.c.) o addizioni (ex art. 986c.c.) che l’usufruttuario voglia eseguire. </w:t>
      </w:r>
      <w:r w:rsidRPr="000B483A">
        <w:rPr>
          <w:rFonts w:cstheme="minorHAnsi"/>
        </w:rPr>
        <w:t>come espressamente richiamat</w:t>
      </w:r>
      <w:r w:rsidR="007E64CE" w:rsidRPr="000B483A">
        <w:rPr>
          <w:rFonts w:cstheme="minorHAnsi"/>
        </w:rPr>
        <w:t>i</w:t>
      </w:r>
      <w:r w:rsidRPr="000B483A">
        <w:rPr>
          <w:rFonts w:cstheme="minorHAnsi"/>
        </w:rPr>
        <w:t xml:space="preserve"> da</w:t>
      </w:r>
      <w:r w:rsidR="007E64CE" w:rsidRPr="000B483A">
        <w:rPr>
          <w:rFonts w:cstheme="minorHAnsi"/>
        </w:rPr>
        <w:t xml:space="preserve">ll’ottavo comma dell’articolo 67 delle disposizioni di attuazione. Come pure in ragione degli effetti della prevista solidarietà per le spese introdotta dal successivo nono comma. </w:t>
      </w:r>
      <w:r w:rsidRPr="000B483A">
        <w:rPr>
          <w:rFonts w:cstheme="minorHAnsi"/>
        </w:rPr>
        <w:t xml:space="preserve"> </w:t>
      </w:r>
    </w:p>
    <w:p w:rsidR="00AA0708" w:rsidRPr="000B483A" w:rsidRDefault="00AA0708" w:rsidP="00244D01">
      <w:pPr>
        <w:jc w:val="both"/>
        <w:rPr>
          <w:rFonts w:cstheme="minorHAnsi"/>
        </w:rPr>
      </w:pPr>
    </w:p>
    <w:p w:rsidR="00AA0708" w:rsidRPr="000B483A" w:rsidRDefault="00AA0708" w:rsidP="00244D01">
      <w:pPr>
        <w:jc w:val="both"/>
        <w:rPr>
          <w:rFonts w:cstheme="minorHAnsi"/>
        </w:rPr>
      </w:pPr>
      <w:r w:rsidRPr="000B483A">
        <w:rPr>
          <w:rFonts w:cstheme="minorHAnsi"/>
        </w:rPr>
        <w:t xml:space="preserve">Comunque, </w:t>
      </w:r>
      <w:r w:rsidRPr="000B483A">
        <w:rPr>
          <w:rFonts w:cstheme="minorHAnsi"/>
          <w:b/>
        </w:rPr>
        <w:t>tale doppia convocazione</w:t>
      </w:r>
      <w:r w:rsidR="00E110B9" w:rsidRPr="000B483A">
        <w:rPr>
          <w:rFonts w:cstheme="minorHAnsi"/>
          <w:b/>
        </w:rPr>
        <w:t>,</w:t>
      </w:r>
      <w:r w:rsidRPr="000B483A">
        <w:rPr>
          <w:rFonts w:cstheme="minorHAnsi"/>
          <w:b/>
        </w:rPr>
        <w:t xml:space="preserve"> del nudo proprietario e dell’usufruttuario, rappresenta una modalità quanto più </w:t>
      </w:r>
      <w:r w:rsidR="00DF2C1B" w:rsidRPr="000B483A">
        <w:rPr>
          <w:rFonts w:cstheme="minorHAnsi"/>
          <w:b/>
        </w:rPr>
        <w:t xml:space="preserve">che </w:t>
      </w:r>
      <w:r w:rsidRPr="000B483A">
        <w:rPr>
          <w:rFonts w:cstheme="minorHAnsi"/>
          <w:b/>
        </w:rPr>
        <w:t>opportuna per il Condominio</w:t>
      </w:r>
      <w:r w:rsidRPr="000B483A">
        <w:rPr>
          <w:rFonts w:cstheme="minorHAnsi"/>
        </w:rPr>
        <w:t xml:space="preserve">, che chiamando </w:t>
      </w:r>
      <w:r w:rsidR="00E110B9" w:rsidRPr="000B483A">
        <w:rPr>
          <w:rFonts w:cstheme="minorHAnsi"/>
        </w:rPr>
        <w:t xml:space="preserve">così </w:t>
      </w:r>
      <w:r w:rsidRPr="000B483A">
        <w:rPr>
          <w:rFonts w:cstheme="minorHAnsi"/>
        </w:rPr>
        <w:t xml:space="preserve">entrambi all’assemblea </w:t>
      </w:r>
      <w:r w:rsidR="00DF2C1B" w:rsidRPr="000B483A">
        <w:rPr>
          <w:rFonts w:cstheme="minorHAnsi"/>
        </w:rPr>
        <w:t xml:space="preserve">deliberativa </w:t>
      </w:r>
      <w:r w:rsidRPr="000B483A">
        <w:rPr>
          <w:rFonts w:cstheme="minorHAnsi"/>
        </w:rPr>
        <w:t>riuscirà così a prevenire il rischio di perniciose impugnazioni</w:t>
      </w:r>
      <w:r w:rsidR="00DF2C1B" w:rsidRPr="000B483A">
        <w:rPr>
          <w:rFonts w:cstheme="minorHAnsi"/>
        </w:rPr>
        <w:t xml:space="preserve"> (da parte del soggetto altrimenti escluso)</w:t>
      </w:r>
      <w:r w:rsidRPr="000B483A">
        <w:rPr>
          <w:rFonts w:cstheme="minorHAnsi"/>
        </w:rPr>
        <w:t xml:space="preserve"> posti i diversi profili </w:t>
      </w:r>
      <w:r w:rsidR="00DF2C1B" w:rsidRPr="000B483A">
        <w:rPr>
          <w:rFonts w:cstheme="minorHAnsi"/>
        </w:rPr>
        <w:t xml:space="preserve">che </w:t>
      </w:r>
      <w:r w:rsidR="00E110B9" w:rsidRPr="000B483A">
        <w:rPr>
          <w:rFonts w:cstheme="minorHAnsi"/>
        </w:rPr>
        <w:t xml:space="preserve">possono </w:t>
      </w:r>
      <w:r w:rsidR="00DF2C1B" w:rsidRPr="000B483A">
        <w:rPr>
          <w:rFonts w:cstheme="minorHAnsi"/>
        </w:rPr>
        <w:t>caratterizz</w:t>
      </w:r>
      <w:r w:rsidR="00E110B9" w:rsidRPr="000B483A">
        <w:rPr>
          <w:rFonts w:cstheme="minorHAnsi"/>
        </w:rPr>
        <w:t>are</w:t>
      </w:r>
      <w:r w:rsidR="00DF2C1B" w:rsidRPr="000B483A">
        <w:rPr>
          <w:rFonts w:cstheme="minorHAnsi"/>
        </w:rPr>
        <w:t xml:space="preserve"> le</w:t>
      </w:r>
      <w:r w:rsidRPr="000B483A">
        <w:rPr>
          <w:rFonts w:cstheme="minorHAnsi"/>
        </w:rPr>
        <w:t xml:space="preserve"> opere in questione. </w:t>
      </w:r>
    </w:p>
    <w:p w:rsidR="005C3382" w:rsidRPr="000B483A" w:rsidRDefault="005C3382" w:rsidP="009D500B">
      <w:pPr>
        <w:jc w:val="both"/>
        <w:rPr>
          <w:rFonts w:cstheme="minorHAnsi"/>
          <w:b/>
          <w:u w:val="single"/>
        </w:rPr>
      </w:pPr>
    </w:p>
    <w:p w:rsidR="005C3382" w:rsidRPr="000B483A" w:rsidRDefault="005C3382" w:rsidP="009D500B">
      <w:pPr>
        <w:jc w:val="both"/>
        <w:rPr>
          <w:rFonts w:cstheme="minorHAnsi"/>
          <w:b/>
          <w:u w:val="single"/>
        </w:rPr>
      </w:pPr>
      <w:r w:rsidRPr="000B483A">
        <w:rPr>
          <w:rFonts w:cstheme="minorHAnsi"/>
          <w:b/>
          <w:u w:val="single"/>
        </w:rPr>
        <w:t>L’Usufruttuario può impugnare la delibera dell’assemblea dei condomini</w:t>
      </w:r>
    </w:p>
    <w:p w:rsidR="00577FCD" w:rsidRPr="000B483A" w:rsidRDefault="00577FCD" w:rsidP="009D500B">
      <w:pPr>
        <w:jc w:val="both"/>
        <w:rPr>
          <w:rFonts w:cstheme="minorHAnsi"/>
        </w:rPr>
      </w:pPr>
      <w:r w:rsidRPr="000B483A">
        <w:rPr>
          <w:rFonts w:cstheme="minorHAnsi"/>
        </w:rPr>
        <w:t xml:space="preserve">A tal proposito, merita menzione la sentenza del </w:t>
      </w:r>
      <w:r w:rsidRPr="000B483A">
        <w:rPr>
          <w:rStyle w:val="ng-binding"/>
          <w:rFonts w:cstheme="minorHAnsi"/>
          <w:b/>
          <w:color w:val="000000" w:themeColor="text1"/>
        </w:rPr>
        <w:t>Tribunale Massa</w:t>
      </w:r>
      <w:r w:rsidR="009D500B" w:rsidRPr="000B483A">
        <w:rPr>
          <w:rStyle w:val="ng-binding"/>
          <w:rFonts w:cstheme="minorHAnsi"/>
          <w:b/>
          <w:color w:val="000000" w:themeColor="text1"/>
        </w:rPr>
        <w:t xml:space="preserve"> del </w:t>
      </w:r>
      <w:r w:rsidRPr="000B483A">
        <w:rPr>
          <w:rStyle w:val="ng-binding"/>
          <w:rFonts w:cstheme="minorHAnsi"/>
          <w:b/>
          <w:color w:val="000000" w:themeColor="text1"/>
        </w:rPr>
        <w:t>06/11/2017</w:t>
      </w:r>
      <w:r w:rsidR="009D500B" w:rsidRPr="000B483A">
        <w:rPr>
          <w:rStyle w:val="ng-binding"/>
          <w:rFonts w:cstheme="minorHAnsi"/>
          <w:b/>
          <w:color w:val="000000" w:themeColor="text1"/>
        </w:rPr>
        <w:t xml:space="preserve"> che ammette </w:t>
      </w:r>
      <w:r w:rsidR="009D500B" w:rsidRPr="000B483A">
        <w:rPr>
          <w:rStyle w:val="ng-binding"/>
          <w:rFonts w:cstheme="minorHAnsi"/>
          <w:b/>
          <w:bCs/>
          <w:color w:val="000000" w:themeColor="text1"/>
        </w:rPr>
        <w:t>l</w:t>
      </w:r>
      <w:r w:rsidRPr="000B483A">
        <w:rPr>
          <w:rStyle w:val="ng-binding"/>
          <w:rFonts w:cstheme="minorHAnsi"/>
          <w:b/>
          <w:bCs/>
          <w:color w:val="000000" w:themeColor="text1"/>
        </w:rPr>
        <w:t xml:space="preserve">'usufruttuario </w:t>
      </w:r>
      <w:r w:rsidR="009D500B" w:rsidRPr="000B483A">
        <w:rPr>
          <w:rStyle w:val="ng-binding"/>
          <w:rFonts w:cstheme="minorHAnsi"/>
          <w:b/>
          <w:bCs/>
          <w:color w:val="000000" w:themeColor="text1"/>
        </w:rPr>
        <w:t>ad</w:t>
      </w:r>
      <w:r w:rsidRPr="000B483A">
        <w:rPr>
          <w:rStyle w:val="ng-binding"/>
          <w:rFonts w:cstheme="minorHAnsi"/>
          <w:b/>
          <w:bCs/>
          <w:color w:val="000000" w:themeColor="text1"/>
        </w:rPr>
        <w:t xml:space="preserve"> impugnare le delibere assembleari inerenti l'approvazione</w:t>
      </w:r>
      <w:r w:rsidR="0047452C" w:rsidRPr="000B483A">
        <w:rPr>
          <w:rStyle w:val="ng-binding"/>
          <w:rFonts w:cstheme="minorHAnsi"/>
          <w:b/>
          <w:bCs/>
          <w:color w:val="000000" w:themeColor="text1"/>
        </w:rPr>
        <w:t xml:space="preserve"> </w:t>
      </w:r>
      <w:r w:rsidRPr="000B483A">
        <w:rPr>
          <w:rStyle w:val="ng-binding"/>
          <w:rFonts w:cstheme="minorHAnsi"/>
          <w:b/>
          <w:bCs/>
          <w:color w:val="000000" w:themeColor="text1"/>
        </w:rPr>
        <w:t>di lavori straordinari</w:t>
      </w:r>
      <w:r w:rsidR="009D500B" w:rsidRPr="000B483A">
        <w:rPr>
          <w:rStyle w:val="ng-binding"/>
          <w:rFonts w:cstheme="minorHAnsi"/>
          <w:b/>
          <w:bCs/>
          <w:color w:val="000000" w:themeColor="text1"/>
        </w:rPr>
        <w:t>.</w:t>
      </w:r>
    </w:p>
    <w:p w:rsidR="00577FCD" w:rsidRPr="000B483A" w:rsidRDefault="009D500B" w:rsidP="00577FCD">
      <w:pPr>
        <w:pStyle w:val="NormaleWeb"/>
        <w:shd w:val="clear" w:color="auto" w:fill="FFFFFF"/>
        <w:spacing w:before="0" w:beforeAutospacing="0" w:after="150" w:afterAutospacing="0" w:line="360" w:lineRule="atLeast"/>
        <w:jc w:val="both"/>
        <w:rPr>
          <w:rFonts w:asciiTheme="minorHAnsi" w:hAnsiTheme="minorHAnsi" w:cstheme="minorHAnsi"/>
          <w:b/>
          <w:color w:val="000000" w:themeColor="text1"/>
          <w:u w:val="single"/>
        </w:rPr>
      </w:pPr>
      <w:r w:rsidRPr="000B483A">
        <w:rPr>
          <w:rFonts w:asciiTheme="minorHAnsi" w:hAnsiTheme="minorHAnsi" w:cstheme="minorHAnsi"/>
          <w:color w:val="000000" w:themeColor="text1"/>
        </w:rPr>
        <w:t>Ad avviso del Tribunale</w:t>
      </w:r>
      <w:r w:rsidR="005C3382" w:rsidRPr="000B483A">
        <w:rPr>
          <w:rFonts w:asciiTheme="minorHAnsi" w:hAnsiTheme="minorHAnsi" w:cstheme="minorHAnsi"/>
          <w:color w:val="000000" w:themeColor="text1"/>
        </w:rPr>
        <w:t xml:space="preserve">, </w:t>
      </w:r>
      <w:r w:rsidRPr="000B483A">
        <w:rPr>
          <w:rFonts w:asciiTheme="minorHAnsi" w:hAnsiTheme="minorHAnsi" w:cstheme="minorHAnsi"/>
          <w:color w:val="000000" w:themeColor="text1"/>
        </w:rPr>
        <w:t>l</w:t>
      </w:r>
      <w:r w:rsidR="00577FCD" w:rsidRPr="000B483A">
        <w:rPr>
          <w:rFonts w:asciiTheme="minorHAnsi" w:hAnsiTheme="minorHAnsi" w:cstheme="minorHAnsi"/>
          <w:color w:val="000000" w:themeColor="text1"/>
        </w:rPr>
        <w:t>'usufruttuario è legittimato ad impugnare le delibere assembleari inerenti l'approvazione di lavori straordinari, atteso che, a fronte della solidarietà fra usufruttuario e nudo proprietario prevista dall</w:t>
      </w:r>
      <w:r w:rsidR="005C3382" w:rsidRPr="000B483A">
        <w:rPr>
          <w:rFonts w:asciiTheme="minorHAnsi" w:hAnsiTheme="minorHAnsi" w:cstheme="minorHAnsi"/>
          <w:color w:val="000000" w:themeColor="text1"/>
        </w:rPr>
        <w:t xml:space="preserve">’articolo 67 delle disposizioni di attuazione al codice civile </w:t>
      </w:r>
      <w:r w:rsidR="00577FCD" w:rsidRPr="000B483A">
        <w:rPr>
          <w:rFonts w:asciiTheme="minorHAnsi" w:hAnsiTheme="minorHAnsi" w:cstheme="minorHAnsi"/>
          <w:color w:val="000000" w:themeColor="text1"/>
        </w:rPr>
        <w:t>la delibera è direttamente e immediatamente azionabile contro entrambi, sì che a costoro va riconosciuta la pari facoltà di agire per farne dichiarare l'invalidità</w:t>
      </w:r>
      <w:r w:rsidR="005C3382" w:rsidRPr="000B483A">
        <w:rPr>
          <w:rFonts w:asciiTheme="minorHAnsi" w:hAnsiTheme="minorHAnsi" w:cstheme="minorHAnsi"/>
          <w:b/>
          <w:color w:val="000000" w:themeColor="text1"/>
        </w:rPr>
        <w:t xml:space="preserve">. </w:t>
      </w:r>
    </w:p>
    <w:p w:rsidR="00577FCD" w:rsidRPr="00F64EF6" w:rsidRDefault="00577FCD" w:rsidP="00244D01">
      <w:pPr>
        <w:jc w:val="both"/>
        <w:rPr>
          <w:rFonts w:cstheme="minorHAnsi"/>
          <w:sz w:val="32"/>
          <w:szCs w:val="32"/>
        </w:rPr>
      </w:pPr>
    </w:p>
    <w:p w:rsidR="008C3740" w:rsidRDefault="008C3740" w:rsidP="001E03CE">
      <w:pPr>
        <w:jc w:val="both"/>
        <w:rPr>
          <w:rFonts w:cstheme="minorHAnsi"/>
          <w:sz w:val="32"/>
          <w:szCs w:val="32"/>
        </w:rPr>
      </w:pPr>
    </w:p>
    <w:p w:rsidR="000060A2" w:rsidRDefault="000060A2" w:rsidP="001E03CE">
      <w:pPr>
        <w:jc w:val="both"/>
        <w:rPr>
          <w:rFonts w:cstheme="minorHAnsi"/>
          <w:sz w:val="32"/>
          <w:szCs w:val="32"/>
        </w:rPr>
      </w:pPr>
    </w:p>
    <w:p w:rsidR="008C3740" w:rsidRDefault="008C3740" w:rsidP="001E03CE">
      <w:pPr>
        <w:jc w:val="both"/>
        <w:rPr>
          <w:rFonts w:cstheme="minorHAnsi"/>
          <w:sz w:val="32"/>
          <w:szCs w:val="32"/>
        </w:rPr>
      </w:pPr>
    </w:p>
    <w:p w:rsidR="00B70AB5" w:rsidRPr="00B70AB5" w:rsidRDefault="00B70AB5" w:rsidP="00B13B74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sectPr w:rsidR="00B70AB5" w:rsidRPr="00B70AB5" w:rsidSect="00E7007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C1291A"/>
    <w:multiLevelType w:val="hybridMultilevel"/>
    <w:tmpl w:val="011AB1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3F13B4"/>
    <w:multiLevelType w:val="multilevel"/>
    <w:tmpl w:val="347E5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B544499"/>
    <w:multiLevelType w:val="hybridMultilevel"/>
    <w:tmpl w:val="E056C8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doNotDisplayPageBoundaries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0F7"/>
    <w:rsid w:val="000060A2"/>
    <w:rsid w:val="00047429"/>
    <w:rsid w:val="00060154"/>
    <w:rsid w:val="000B483A"/>
    <w:rsid w:val="000C355B"/>
    <w:rsid w:val="00124B7C"/>
    <w:rsid w:val="00132234"/>
    <w:rsid w:val="00161754"/>
    <w:rsid w:val="00181195"/>
    <w:rsid w:val="001E03CE"/>
    <w:rsid w:val="001F3D52"/>
    <w:rsid w:val="00201B52"/>
    <w:rsid w:val="00244D01"/>
    <w:rsid w:val="00260C1C"/>
    <w:rsid w:val="002D05FE"/>
    <w:rsid w:val="003226EC"/>
    <w:rsid w:val="00417016"/>
    <w:rsid w:val="00423D12"/>
    <w:rsid w:val="004629A5"/>
    <w:rsid w:val="00462F20"/>
    <w:rsid w:val="00473ECC"/>
    <w:rsid w:val="0047452C"/>
    <w:rsid w:val="004849BC"/>
    <w:rsid w:val="004B3CAA"/>
    <w:rsid w:val="004E1CF0"/>
    <w:rsid w:val="00502D84"/>
    <w:rsid w:val="00505958"/>
    <w:rsid w:val="00521746"/>
    <w:rsid w:val="00577FCD"/>
    <w:rsid w:val="005C3382"/>
    <w:rsid w:val="005C6CF1"/>
    <w:rsid w:val="006338E7"/>
    <w:rsid w:val="00636E77"/>
    <w:rsid w:val="007501F8"/>
    <w:rsid w:val="007A7569"/>
    <w:rsid w:val="007D225A"/>
    <w:rsid w:val="007E64CE"/>
    <w:rsid w:val="00804C14"/>
    <w:rsid w:val="00854888"/>
    <w:rsid w:val="008C3740"/>
    <w:rsid w:val="008D051C"/>
    <w:rsid w:val="008E7495"/>
    <w:rsid w:val="009D500B"/>
    <w:rsid w:val="00A063FC"/>
    <w:rsid w:val="00A54602"/>
    <w:rsid w:val="00A62EA3"/>
    <w:rsid w:val="00AA0708"/>
    <w:rsid w:val="00B13B74"/>
    <w:rsid w:val="00B51F85"/>
    <w:rsid w:val="00B70AB5"/>
    <w:rsid w:val="00BB63D1"/>
    <w:rsid w:val="00BD46CC"/>
    <w:rsid w:val="00C057A7"/>
    <w:rsid w:val="00C976FB"/>
    <w:rsid w:val="00CA3EA4"/>
    <w:rsid w:val="00D90F44"/>
    <w:rsid w:val="00DF2C1B"/>
    <w:rsid w:val="00E110B9"/>
    <w:rsid w:val="00E210F7"/>
    <w:rsid w:val="00E41CEA"/>
    <w:rsid w:val="00E7007C"/>
    <w:rsid w:val="00E94B57"/>
    <w:rsid w:val="00EE03D4"/>
    <w:rsid w:val="00F25C60"/>
    <w:rsid w:val="00F357FF"/>
    <w:rsid w:val="00F64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ECC34"/>
  <w14:defaultImageDpi w14:val="32767"/>
  <w15:chartTrackingRefBased/>
  <w15:docId w15:val="{38155015-F20F-AD4D-AA86-DBC9329CB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057A7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8C3740"/>
    <w:rPr>
      <w:color w:val="0000FF"/>
      <w:u w:val="single"/>
    </w:rPr>
  </w:style>
  <w:style w:type="character" w:customStyle="1" w:styleId="ng-binding">
    <w:name w:val="ng-binding"/>
    <w:basedOn w:val="Carpredefinitoparagrafo"/>
    <w:rsid w:val="004E1CF0"/>
  </w:style>
  <w:style w:type="paragraph" w:styleId="NormaleWeb">
    <w:name w:val="Normal (Web)"/>
    <w:basedOn w:val="Normale"/>
    <w:uiPriority w:val="99"/>
    <w:semiHidden/>
    <w:unhideWhenUsed/>
    <w:rsid w:val="008D051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5C338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63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4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52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54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3</Pages>
  <Words>1158</Words>
  <Characters>6607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Dott. Andrea Tolomelli P.I 02157691201</dc:creator>
  <cp:keywords/>
  <dc:description/>
  <cp:lastModifiedBy>Dott. Andrea Tolomelli P.I 02157691201</cp:lastModifiedBy>
  <cp:revision>35</cp:revision>
  <dcterms:created xsi:type="dcterms:W3CDTF">2021-08-27T14:32:00Z</dcterms:created>
  <dcterms:modified xsi:type="dcterms:W3CDTF">2021-08-28T12:28:00Z</dcterms:modified>
</cp:coreProperties>
</file>